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17D5" w14:textId="56217E49" w:rsidR="00790244" w:rsidRPr="00790244" w:rsidRDefault="00790244" w:rsidP="00790244">
      <w:pPr>
        <w:jc w:val="center"/>
        <w:rPr>
          <w:rFonts w:eastAsia="Times New Roman"/>
          <w:b/>
          <w:sz w:val="44"/>
          <w:szCs w:val="44"/>
        </w:rPr>
      </w:pPr>
      <w:r w:rsidRPr="00790244">
        <w:rPr>
          <w:rFonts w:eastAsia="Times New Roman"/>
          <w:b/>
          <w:sz w:val="44"/>
          <w:szCs w:val="44"/>
        </w:rPr>
        <w:t>Draft</w:t>
      </w:r>
      <w:r w:rsidR="009216F7">
        <w:rPr>
          <w:rFonts w:eastAsia="Times New Roman"/>
          <w:b/>
          <w:sz w:val="44"/>
          <w:szCs w:val="44"/>
        </w:rPr>
        <w:t xml:space="preserve"> - </w:t>
      </w:r>
      <w:bookmarkStart w:id="0" w:name="_GoBack"/>
      <w:bookmarkEnd w:id="0"/>
      <w:r w:rsidR="009216F7">
        <w:rPr>
          <w:rFonts w:eastAsia="Times New Roman"/>
          <w:b/>
          <w:sz w:val="44"/>
          <w:szCs w:val="44"/>
        </w:rPr>
        <w:t>Changes in yellow</w:t>
      </w:r>
    </w:p>
    <w:p w14:paraId="04F21462" w14:textId="77777777" w:rsidR="00790244" w:rsidRDefault="00790244">
      <w:pPr>
        <w:rPr>
          <w:rFonts w:eastAsia="Times New Roman"/>
        </w:rPr>
      </w:pPr>
    </w:p>
    <w:p w14:paraId="437BB01E" w14:textId="15C07C59" w:rsidR="00160624" w:rsidRPr="00790244" w:rsidRDefault="00160624">
      <w:pPr>
        <w:rPr>
          <w:rFonts w:eastAsia="Times New Roman"/>
          <w:sz w:val="24"/>
          <w:szCs w:val="24"/>
        </w:rPr>
        <w:sectPr w:rsidR="00160624" w:rsidRPr="00790244">
          <w:type w:val="continuous"/>
          <w:pgSz w:w="12240" w:h="15840"/>
          <w:pgMar w:top="1440" w:right="1440" w:bottom="1440" w:left="1440" w:header="720" w:footer="720" w:gutter="0"/>
          <w:cols w:space="720"/>
        </w:sectPr>
      </w:pPr>
      <w:r>
        <w:rPr>
          <w:rFonts w:eastAsia="Times New Roman"/>
        </w:rPr>
        <w:t xml:space="preserve">ARTICLE VI. - CONSERVATION SUBDIVISIONS </w:t>
      </w:r>
    </w:p>
    <w:p w14:paraId="286A96A8" w14:textId="77777777" w:rsidR="00160624" w:rsidRDefault="00160624">
      <w:pPr>
        <w:rPr>
          <w:rFonts w:eastAsia="Times New Roman"/>
          <w:sz w:val="24"/>
          <w:szCs w:val="24"/>
        </w:rPr>
      </w:pPr>
      <w:r>
        <w:rPr>
          <w:rFonts w:eastAsia="Times New Roman"/>
        </w:rPr>
        <w:t xml:space="preserve">Sec. 105-160. - General regulations. </w:t>
      </w:r>
    </w:p>
    <w:p w14:paraId="1C22828D" w14:textId="448FF395" w:rsidR="00160624" w:rsidRDefault="00160624">
      <w:pPr>
        <w:pStyle w:val="list0"/>
      </w:pPr>
      <w:r>
        <w:t>(a)  </w:t>
      </w:r>
      <w:r>
        <w:rPr>
          <w:i/>
          <w:iCs/>
        </w:rPr>
        <w:t>Applicability of regulations.</w:t>
      </w:r>
      <w:r>
        <w:t xml:space="preserve"> </w:t>
      </w:r>
      <w:r w:rsidRPr="009548FE">
        <w:rPr>
          <w:highlight w:val="yellow"/>
        </w:rPr>
        <w:t xml:space="preserve">The conservation subdivision option is available as a use by right in all residential zoning </w:t>
      </w:r>
      <w:r w:rsidR="00C62A9E" w:rsidRPr="009548FE">
        <w:rPr>
          <w:highlight w:val="yellow"/>
        </w:rPr>
        <w:t>districts</w:t>
      </w:r>
      <w:r w:rsidR="00153762" w:rsidRPr="009548FE">
        <w:rPr>
          <w:strike/>
          <w:highlight w:val="yellow"/>
        </w:rPr>
        <w:t>.</w:t>
      </w:r>
      <w:r w:rsidR="00C62A9E" w:rsidRPr="009548FE">
        <w:rPr>
          <w:color w:val="FF0000"/>
          <w:highlight w:val="yellow"/>
        </w:rPr>
        <w:t xml:space="preserve"> </w:t>
      </w:r>
      <w:proofErr w:type="gramStart"/>
      <w:r w:rsidR="00C62A9E" w:rsidRPr="009548FE">
        <w:rPr>
          <w:color w:val="FF0000"/>
          <w:highlight w:val="yellow"/>
        </w:rPr>
        <w:t>but</w:t>
      </w:r>
      <w:proofErr w:type="gramEnd"/>
      <w:r w:rsidR="00A4724B" w:rsidRPr="009548FE">
        <w:rPr>
          <w:color w:val="FF0000"/>
          <w:highlight w:val="yellow"/>
        </w:rPr>
        <w:t xml:space="preserve"> </w:t>
      </w:r>
      <w:r w:rsidR="00C62A9E" w:rsidRPr="009548FE">
        <w:rPr>
          <w:color w:val="FF0000"/>
          <w:highlight w:val="yellow"/>
        </w:rPr>
        <w:t>shall be required for all major subdivisions in all agricultural and residential zoning districts other than those in the Residential Lake District</w:t>
      </w:r>
      <w:r w:rsidRPr="009548FE">
        <w:rPr>
          <w:highlight w:val="yellow"/>
        </w:rPr>
        <w:t>.</w:t>
      </w:r>
      <w:r>
        <w:t xml:space="preserve"> An applicant shall comply with all other provisions of </w:t>
      </w:r>
      <w:r w:rsidRPr="005D588B">
        <w:t>chapter</w:t>
      </w:r>
      <w:r>
        <w:t xml:space="preserve"> 119 and all other applicable laws, except those that are incompatible with the provisions contained herein. </w:t>
      </w:r>
    </w:p>
    <w:p w14:paraId="72F714B1" w14:textId="77777777" w:rsidR="00160624" w:rsidRDefault="00160624">
      <w:pPr>
        <w:pStyle w:val="list0"/>
      </w:pPr>
      <w:r>
        <w:t>(b)  </w:t>
      </w:r>
      <w:r>
        <w:rPr>
          <w:i/>
          <w:iCs/>
        </w:rPr>
        <w:t>Ownership of development site.</w:t>
      </w:r>
      <w:r>
        <w:t xml:space="preserve"> The tract of land to be subdivided may be held in single and separate ownership or in multiple ownership. If held in multiple ownership, however, the site shall be developed according to a single plan with common authority and common responsibility. </w:t>
      </w:r>
    </w:p>
    <w:p w14:paraId="0BE1B05B" w14:textId="77777777" w:rsidR="00160624" w:rsidRDefault="00160624">
      <w:pPr>
        <w:pStyle w:val="list0"/>
      </w:pPr>
      <w:r>
        <w:t>(c)  </w:t>
      </w:r>
      <w:r>
        <w:rPr>
          <w:i/>
          <w:iCs/>
        </w:rPr>
        <w:t>Housing density determination.</w:t>
      </w:r>
      <w:r>
        <w:t xml:space="preserve"> The maximum number of lots in the conservation subdivision shall be determined by either of the following two methods, at the discretion of the applicant: </w:t>
      </w:r>
    </w:p>
    <w:p w14:paraId="6C3755D1" w14:textId="77777777" w:rsidR="00160624" w:rsidRDefault="00160624">
      <w:pPr>
        <w:pStyle w:val="list1"/>
      </w:pPr>
      <w:r>
        <w:t>(1)  </w:t>
      </w:r>
      <w:r>
        <w:rPr>
          <w:i/>
          <w:iCs/>
        </w:rPr>
        <w:t>Calculation.</w:t>
      </w:r>
      <w:r>
        <w:t xml:space="preserve"> The maximum number of lots is determined by dividing the area of the tract of land by the minimum lot size specified in the underlying zoning. In making this calculation, the following shall not be included in the total area of the parcel: </w:t>
      </w:r>
    </w:p>
    <w:p w14:paraId="21E42D10" w14:textId="77777777" w:rsidR="00160624" w:rsidRDefault="00160624">
      <w:pPr>
        <w:pStyle w:val="List2"/>
      </w:pPr>
      <w:proofErr w:type="gramStart"/>
      <w:r>
        <w:t>a.  Slopes</w:t>
      </w:r>
      <w:proofErr w:type="gramEnd"/>
      <w:r>
        <w:t xml:space="preserve"> over 25 percent of at least 5,000 square feet contiguous area; </w:t>
      </w:r>
    </w:p>
    <w:p w14:paraId="49A17549" w14:textId="77777777" w:rsidR="00160624" w:rsidRDefault="00160624">
      <w:pPr>
        <w:pStyle w:val="List2"/>
      </w:pPr>
      <w:proofErr w:type="gramStart"/>
      <w:r>
        <w:t>b.  The</w:t>
      </w:r>
      <w:proofErr w:type="gramEnd"/>
      <w:r>
        <w:t xml:space="preserve"> 100-year floodplain; </w:t>
      </w:r>
    </w:p>
    <w:p w14:paraId="521D4D61" w14:textId="77777777" w:rsidR="00160624" w:rsidRDefault="00160624">
      <w:pPr>
        <w:pStyle w:val="List2"/>
      </w:pPr>
      <w:proofErr w:type="gramStart"/>
      <w:r>
        <w:t>c.  Bodies</w:t>
      </w:r>
      <w:proofErr w:type="gramEnd"/>
      <w:r>
        <w:t xml:space="preserve"> of open water over 5,000 square feet contiguous area; </w:t>
      </w:r>
    </w:p>
    <w:p w14:paraId="492E769A" w14:textId="77777777" w:rsidR="00160624" w:rsidRDefault="00160624">
      <w:pPr>
        <w:pStyle w:val="List2"/>
      </w:pPr>
      <w:proofErr w:type="gramStart"/>
      <w:r>
        <w:t>d.  Wetlands</w:t>
      </w:r>
      <w:proofErr w:type="gramEnd"/>
      <w:r>
        <w:t xml:space="preserve"> that meet the definition of the Army Corps of Engineers pursuant to the Clean Water Act. </w:t>
      </w:r>
    </w:p>
    <w:p w14:paraId="1688CF29" w14:textId="77777777" w:rsidR="00160624" w:rsidRDefault="00160624">
      <w:pPr>
        <w:pStyle w:val="list1"/>
      </w:pPr>
      <w:r>
        <w:t>(2)  </w:t>
      </w:r>
      <w:r>
        <w:rPr>
          <w:i/>
          <w:iCs/>
        </w:rPr>
        <w:t>Yield plan.</w:t>
      </w:r>
      <w:r>
        <w:t xml:space="preserve"> The maximum number of lots is based on a conventional subdivision design plan, prepared by the applicant, in which the tract of land is subdivided in a manner intended to yield the highest number of lots possible. The plan does not have to meet formal requirements for a site design plan, but the design must be capable of being constructed given site features and all applicable regulations. </w:t>
      </w:r>
    </w:p>
    <w:p w14:paraId="198009E0" w14:textId="15D539A2" w:rsidR="00160624" w:rsidRDefault="00160624">
      <w:pPr>
        <w:pStyle w:val="historynote0"/>
        <w:sectPr w:rsidR="00160624">
          <w:type w:val="continuous"/>
          <w:pgSz w:w="12240" w:h="15840"/>
          <w:pgMar w:top="1440" w:right="1440" w:bottom="1440" w:left="1440" w:header="720" w:footer="720" w:gutter="0"/>
          <w:cols w:space="720"/>
        </w:sectPr>
      </w:pPr>
      <w:r>
        <w:t>(Ord. of 8-8-2005(2), § 602)</w:t>
      </w:r>
    </w:p>
    <w:p w14:paraId="53A5E278" w14:textId="618065FB" w:rsidR="00160624" w:rsidRDefault="00160624">
      <w:pPr>
        <w:pStyle w:val="historynote0"/>
        <w:sectPr w:rsidR="00160624">
          <w:type w:val="continuous"/>
          <w:pgSz w:w="12240" w:h="15840"/>
          <w:pgMar w:top="1440" w:right="1440" w:bottom="1440" w:left="1440" w:header="720" w:footer="720" w:gutter="0"/>
          <w:cols w:space="720"/>
        </w:sectPr>
      </w:pPr>
      <w:r>
        <w:t xml:space="preserve"> </w:t>
      </w:r>
    </w:p>
    <w:p w14:paraId="1DEE053E" w14:textId="77777777" w:rsidR="00160624" w:rsidRDefault="00160624">
      <w:pPr>
        <w:rPr>
          <w:rFonts w:eastAsia="Times New Roman"/>
          <w:sz w:val="24"/>
          <w:szCs w:val="24"/>
        </w:rPr>
      </w:pPr>
      <w:r>
        <w:rPr>
          <w:rFonts w:eastAsia="Times New Roman"/>
        </w:rPr>
        <w:t xml:space="preserve">Sec. 105-162. - Open space. </w:t>
      </w:r>
    </w:p>
    <w:p w14:paraId="4F4BCCD3" w14:textId="77777777" w:rsidR="00160624" w:rsidRDefault="00160624">
      <w:pPr>
        <w:pStyle w:val="list0"/>
      </w:pPr>
      <w:r>
        <w:t>(a)  </w:t>
      </w:r>
      <w:r>
        <w:rPr>
          <w:i/>
          <w:iCs/>
        </w:rPr>
        <w:t>Definition.</w:t>
      </w:r>
      <w:r>
        <w:t xml:space="preserve"> Open space is the portion of the conservation subdivision that has been set aside for permanent protection. Activities within the open space are restricted in perpetuity through the use of an approved legal instrument. </w:t>
      </w:r>
    </w:p>
    <w:p w14:paraId="29FDA86D" w14:textId="77777777" w:rsidR="00160624" w:rsidRDefault="00160624">
      <w:pPr>
        <w:pStyle w:val="list0"/>
      </w:pPr>
      <w:r>
        <w:t>(b)  </w:t>
      </w:r>
      <w:r>
        <w:rPr>
          <w:i/>
          <w:iCs/>
        </w:rPr>
        <w:t>Standards to determine open space.</w:t>
      </w:r>
      <w:r>
        <w:t xml:space="preserve"> </w:t>
      </w:r>
    </w:p>
    <w:p w14:paraId="0333150C" w14:textId="77777777" w:rsidR="00160624" w:rsidRDefault="00160624">
      <w:pPr>
        <w:pStyle w:val="list1"/>
      </w:pPr>
      <w:r>
        <w:t>(1)  </w:t>
      </w:r>
      <w:r w:rsidRPr="008A5D0D">
        <w:rPr>
          <w:highlight w:val="yellow"/>
        </w:rPr>
        <w:t xml:space="preserve">The minimum restricted open space shall comprise at least </w:t>
      </w:r>
      <w:r w:rsidRPr="008A5D0D">
        <w:rPr>
          <w:strike/>
          <w:highlight w:val="yellow"/>
        </w:rPr>
        <w:t>40</w:t>
      </w:r>
      <w:r w:rsidR="00C62A9E" w:rsidRPr="008A5D0D">
        <w:rPr>
          <w:highlight w:val="yellow"/>
        </w:rPr>
        <w:t xml:space="preserve"> </w:t>
      </w:r>
      <w:r w:rsidR="00C62A9E" w:rsidRPr="008A5D0D">
        <w:rPr>
          <w:color w:val="FF0000"/>
          <w:highlight w:val="yellow"/>
        </w:rPr>
        <w:t>20</w:t>
      </w:r>
      <w:r w:rsidRPr="008A5D0D">
        <w:rPr>
          <w:highlight w:val="yellow"/>
        </w:rPr>
        <w:t xml:space="preserve"> percent of the gross tract area.</w:t>
      </w:r>
      <w:r>
        <w:t xml:space="preserve"> </w:t>
      </w:r>
    </w:p>
    <w:p w14:paraId="59BB30B8" w14:textId="77777777" w:rsidR="00160624" w:rsidRDefault="00160624">
      <w:pPr>
        <w:pStyle w:val="list1"/>
      </w:pPr>
      <w:r>
        <w:t xml:space="preserve">(2)  The following are considered primary conservation areas and are required to be included within the open space, unless the applicant demonstrates that this provision would constitute an unusual hardship and be counter to the purposes of this article: </w:t>
      </w:r>
    </w:p>
    <w:p w14:paraId="7D48E7FF" w14:textId="77777777" w:rsidR="00160624" w:rsidRDefault="00160624">
      <w:pPr>
        <w:pStyle w:val="List2"/>
      </w:pPr>
      <w:proofErr w:type="gramStart"/>
      <w:r>
        <w:lastRenderedPageBreak/>
        <w:t>a.  The</w:t>
      </w:r>
      <w:proofErr w:type="gramEnd"/>
      <w:r>
        <w:t xml:space="preserve"> 100-year floodplain. </w:t>
      </w:r>
    </w:p>
    <w:p w14:paraId="70F91AB8" w14:textId="77777777" w:rsidR="00160624" w:rsidRDefault="00160624">
      <w:pPr>
        <w:pStyle w:val="List2"/>
      </w:pPr>
      <w:proofErr w:type="gramStart"/>
      <w:r>
        <w:t>b.  Riparian</w:t>
      </w:r>
      <w:proofErr w:type="gramEnd"/>
      <w:r>
        <w:t xml:space="preserve"> zones of at least 100 feet in width along all perennial and intermittent streams. </w:t>
      </w:r>
    </w:p>
    <w:p w14:paraId="1F82F311" w14:textId="77777777" w:rsidR="00160624" w:rsidRDefault="00160624">
      <w:pPr>
        <w:pStyle w:val="List2"/>
      </w:pPr>
      <w:proofErr w:type="gramStart"/>
      <w:r>
        <w:t>c.  Slopes</w:t>
      </w:r>
      <w:proofErr w:type="gramEnd"/>
      <w:r>
        <w:t xml:space="preserve"> above 25 percent of at least 5,000 square feet contiguous area. </w:t>
      </w:r>
    </w:p>
    <w:p w14:paraId="7DB38E24" w14:textId="77777777" w:rsidR="00160624" w:rsidRDefault="00160624">
      <w:pPr>
        <w:pStyle w:val="List2"/>
      </w:pPr>
      <w:proofErr w:type="gramStart"/>
      <w:r>
        <w:t>d.  Wetlands</w:t>
      </w:r>
      <w:proofErr w:type="gramEnd"/>
      <w:r>
        <w:t xml:space="preserve"> that meet the definition used by the Army Corps of Engineers pursuant to the Clean Water Act. </w:t>
      </w:r>
    </w:p>
    <w:p w14:paraId="6C60F968" w14:textId="77777777" w:rsidR="00160624" w:rsidRDefault="00160624">
      <w:pPr>
        <w:pStyle w:val="List2"/>
      </w:pPr>
      <w:proofErr w:type="gramStart"/>
      <w:r>
        <w:t>e.  Populations</w:t>
      </w:r>
      <w:proofErr w:type="gramEnd"/>
      <w:r>
        <w:t xml:space="preserve"> of endangered or threatened species, or habitat for such species. </w:t>
      </w:r>
    </w:p>
    <w:p w14:paraId="5F4CEE36" w14:textId="77777777" w:rsidR="00160624" w:rsidRDefault="00160624">
      <w:pPr>
        <w:pStyle w:val="List2"/>
      </w:pPr>
      <w:proofErr w:type="gramStart"/>
      <w:r>
        <w:t>f.  Archaeological</w:t>
      </w:r>
      <w:proofErr w:type="gramEnd"/>
      <w:r>
        <w:t xml:space="preserve"> sites, cemeteries and burial grounds. </w:t>
      </w:r>
    </w:p>
    <w:p w14:paraId="36607844" w14:textId="77777777" w:rsidR="00153762" w:rsidRDefault="00153762">
      <w:pPr>
        <w:pStyle w:val="list1"/>
      </w:pPr>
    </w:p>
    <w:p w14:paraId="07C5EFA7" w14:textId="7D9C2FD1" w:rsidR="00160624" w:rsidRDefault="00153762">
      <w:pPr>
        <w:pStyle w:val="list0"/>
      </w:pPr>
      <w:r>
        <w:t>….. [REMOVED FOR BREVITY]</w:t>
      </w:r>
    </w:p>
    <w:p w14:paraId="7158A6CB" w14:textId="77777777" w:rsidR="00153762" w:rsidRDefault="00153762">
      <w:pPr>
        <w:pStyle w:val="list0"/>
      </w:pPr>
    </w:p>
    <w:p w14:paraId="4F878C65" w14:textId="77777777" w:rsidR="00160624" w:rsidRDefault="00160624">
      <w:pPr>
        <w:pStyle w:val="historynote0"/>
        <w:sectPr w:rsidR="00160624">
          <w:type w:val="continuous"/>
          <w:pgSz w:w="12240" w:h="15840"/>
          <w:pgMar w:top="1440" w:right="1440" w:bottom="1440" w:left="1440" w:header="720" w:footer="720" w:gutter="0"/>
          <w:cols w:space="720"/>
        </w:sectPr>
      </w:pPr>
      <w:r>
        <w:t xml:space="preserve">(Ord. of 8-8-2005(2), § 604) </w:t>
      </w:r>
    </w:p>
    <w:p w14:paraId="1E21D769" w14:textId="106376A8" w:rsidR="00160624" w:rsidRDefault="00160624">
      <w:pPr>
        <w:rPr>
          <w:rFonts w:eastAsia="Times New Roman"/>
        </w:rPr>
      </w:pPr>
      <w:r>
        <w:rPr>
          <w:rFonts w:eastAsia="Times New Roman"/>
        </w:rPr>
        <w:t xml:space="preserve">Secs. 105-163—105-192. - Reserved. </w:t>
      </w:r>
    </w:p>
    <w:p w14:paraId="52CBC52D" w14:textId="6E582763" w:rsidR="006320FF" w:rsidRDefault="006320FF" w:rsidP="006320FF">
      <w:pPr>
        <w:spacing w:after="0" w:line="240" w:lineRule="auto"/>
        <w:rPr>
          <w:sz w:val="20"/>
          <w:szCs w:val="20"/>
        </w:rPr>
      </w:pPr>
    </w:p>
    <w:p w14:paraId="63AB6655" w14:textId="77777777" w:rsidR="006320FF" w:rsidRDefault="006320FF" w:rsidP="006320FF">
      <w:pPr>
        <w:rPr>
          <w:rFonts w:eastAsia="Times New Roman"/>
          <w:sz w:val="24"/>
          <w:szCs w:val="24"/>
        </w:rPr>
      </w:pPr>
      <w:r>
        <w:rPr>
          <w:rFonts w:eastAsia="Times New Roman"/>
        </w:rPr>
        <w:t xml:space="preserve">Sec. 119-2. - Definitions. </w:t>
      </w:r>
    </w:p>
    <w:p w14:paraId="4181C46A" w14:textId="77777777" w:rsidR="006320FF" w:rsidRDefault="006320FF" w:rsidP="006320FF">
      <w:pPr>
        <w:pStyle w:val="p0"/>
      </w:pPr>
      <w:r>
        <w:rPr>
          <w:i/>
          <w:iCs/>
        </w:rPr>
        <w:t xml:space="preserve">… </w:t>
      </w:r>
      <w:r>
        <w:t>[REMOVED FOR BREVITY]</w:t>
      </w:r>
    </w:p>
    <w:p w14:paraId="2A58E1D0" w14:textId="77777777" w:rsidR="006320FF" w:rsidRPr="00F90785" w:rsidRDefault="006320FF" w:rsidP="006320FF">
      <w:pPr>
        <w:pStyle w:val="p0"/>
      </w:pPr>
    </w:p>
    <w:p w14:paraId="2EDBB118" w14:textId="77777777" w:rsidR="006320FF" w:rsidRPr="00F90785" w:rsidRDefault="006320FF" w:rsidP="006320FF">
      <w:pPr>
        <w:pStyle w:val="p0"/>
        <w:rPr>
          <w:rFonts w:cs="Arial"/>
          <w:color w:val="FF0000"/>
          <w:sz w:val="24"/>
          <w:szCs w:val="24"/>
        </w:rPr>
      </w:pPr>
      <w:r w:rsidRPr="009548FE">
        <w:rPr>
          <w:rFonts w:cs="Arial"/>
          <w:i/>
          <w:iCs/>
          <w:sz w:val="24"/>
          <w:szCs w:val="24"/>
          <w:highlight w:val="yellow"/>
        </w:rPr>
        <w:t>Conservation subdivision</w:t>
      </w:r>
      <w:r w:rsidRPr="009548FE">
        <w:rPr>
          <w:rFonts w:cs="Arial"/>
          <w:sz w:val="24"/>
          <w:szCs w:val="24"/>
          <w:highlight w:val="yellow"/>
        </w:rPr>
        <w:t xml:space="preserve"> means a subdivision planned using the conservation subdivision design method</w:t>
      </w:r>
      <w:r w:rsidRPr="009548FE">
        <w:rPr>
          <w:rFonts w:cs="Arial"/>
          <w:strike/>
          <w:sz w:val="24"/>
          <w:szCs w:val="24"/>
          <w:highlight w:val="yellow"/>
        </w:rPr>
        <w:t>.</w:t>
      </w:r>
      <w:r w:rsidRPr="009548FE">
        <w:rPr>
          <w:rFonts w:cs="Arial"/>
          <w:sz w:val="24"/>
          <w:szCs w:val="24"/>
          <w:highlight w:val="yellow"/>
        </w:rPr>
        <w:t xml:space="preserve"> </w:t>
      </w:r>
      <w:proofErr w:type="gramStart"/>
      <w:r w:rsidRPr="009548FE">
        <w:rPr>
          <w:rFonts w:cs="Arial"/>
          <w:color w:val="FF0000"/>
          <w:sz w:val="24"/>
          <w:szCs w:val="24"/>
          <w:highlight w:val="yellow"/>
        </w:rPr>
        <w:t>as</w:t>
      </w:r>
      <w:proofErr w:type="gramEnd"/>
      <w:r w:rsidRPr="009548FE">
        <w:rPr>
          <w:rFonts w:cs="Arial"/>
          <w:color w:val="FF0000"/>
          <w:sz w:val="24"/>
          <w:szCs w:val="24"/>
          <w:highlight w:val="yellow"/>
        </w:rPr>
        <w:t xml:space="preserve"> outlined in Article VI of Chapter 105 of these ordinances.</w:t>
      </w:r>
    </w:p>
    <w:p w14:paraId="067B3129" w14:textId="77777777" w:rsidR="008A5D0D" w:rsidRDefault="008A5D0D" w:rsidP="008A5D0D">
      <w:pPr>
        <w:pStyle w:val="p0"/>
        <w:shd w:val="clear" w:color="auto" w:fill="FFFFFF"/>
        <w:spacing w:before="48" w:after="240"/>
        <w:ind w:firstLine="0"/>
        <w:rPr>
          <w:rFonts w:cs="Arial"/>
          <w:sz w:val="24"/>
          <w:szCs w:val="24"/>
        </w:rPr>
      </w:pPr>
    </w:p>
    <w:p w14:paraId="6B35AE00" w14:textId="41A92305" w:rsidR="006320FF" w:rsidRPr="00F90785" w:rsidRDefault="008A5D0D" w:rsidP="008A5D0D">
      <w:pPr>
        <w:pStyle w:val="p0"/>
        <w:shd w:val="clear" w:color="auto" w:fill="FFFFFF"/>
        <w:spacing w:before="48" w:after="240"/>
        <w:rPr>
          <w:rFonts w:cs="Arial"/>
          <w:color w:val="313335"/>
          <w:spacing w:val="2"/>
          <w:sz w:val="24"/>
          <w:szCs w:val="24"/>
        </w:rPr>
      </w:pPr>
      <w:r w:rsidRPr="008A5D0D">
        <w:rPr>
          <w:rFonts w:cs="Arial"/>
          <w:i/>
          <w:iCs/>
          <w:sz w:val="24"/>
          <w:szCs w:val="24"/>
          <w:highlight w:val="yellow"/>
        </w:rPr>
        <w:t>Conservation subdivision design</w:t>
      </w:r>
      <w:r w:rsidR="006320FF" w:rsidRPr="008A5D0D">
        <w:rPr>
          <w:rFonts w:cs="Arial"/>
          <w:color w:val="313335"/>
          <w:spacing w:val="2"/>
          <w:sz w:val="24"/>
          <w:szCs w:val="24"/>
          <w:highlight w:val="yellow"/>
        </w:rPr>
        <w:t> means a type of residential development planning</w:t>
      </w:r>
      <w:r w:rsidR="006320FF" w:rsidRPr="00F90785">
        <w:rPr>
          <w:rFonts w:cs="Arial"/>
          <w:color w:val="313335"/>
          <w:spacing w:val="2"/>
          <w:sz w:val="24"/>
          <w:szCs w:val="24"/>
        </w:rPr>
        <w:t xml:space="preserve"> </w:t>
      </w:r>
      <w:r w:rsidR="006320FF" w:rsidRPr="00F90785">
        <w:rPr>
          <w:rFonts w:cs="Arial"/>
          <w:strike/>
          <w:color w:val="313335"/>
          <w:spacing w:val="2"/>
          <w:sz w:val="24"/>
          <w:szCs w:val="24"/>
        </w:rPr>
        <w:t>consisting of a four-step design process described in</w:t>
      </w:r>
      <w:hyperlink r:id="rId7" w:history="1">
        <w:r w:rsidR="006320FF" w:rsidRPr="00F90785">
          <w:rPr>
            <w:rStyle w:val="Hyperlink"/>
            <w:rFonts w:cs="Arial"/>
            <w:strike/>
            <w:color w:val="096FCC"/>
            <w:spacing w:val="2"/>
            <w:sz w:val="24"/>
            <w:szCs w:val="24"/>
          </w:rPr>
          <w:t> chapter 5</w:t>
        </w:r>
      </w:hyperlink>
      <w:r w:rsidR="006320FF" w:rsidRPr="00F90785">
        <w:rPr>
          <w:rFonts w:cs="Arial"/>
          <w:strike/>
          <w:color w:val="313335"/>
          <w:spacing w:val="2"/>
          <w:sz w:val="24"/>
          <w:szCs w:val="24"/>
        </w:rPr>
        <w:t> of Growing Greener by Randall Arendt (Washington DC, Island Press, 1999) resulting in designation of common open space and clustered compact lots for dwellings. It is intended to protect farmland, natural resources, and rural landscape character while permitting no fewer than the same number of dwellings allowed under current zoning regulations and conventiona</w:t>
      </w:r>
      <w:r>
        <w:rPr>
          <w:rFonts w:cs="Arial"/>
          <w:strike/>
          <w:color w:val="313335"/>
          <w:spacing w:val="2"/>
          <w:sz w:val="24"/>
          <w:szCs w:val="24"/>
        </w:rPr>
        <w:t>l subdivision design. I</w:t>
      </w:r>
      <w:r w:rsidR="006320FF" w:rsidRPr="00F90785">
        <w:rPr>
          <w:rFonts w:cs="Arial"/>
          <w:strike/>
          <w:color w:val="313335"/>
          <w:spacing w:val="2"/>
          <w:sz w:val="24"/>
          <w:szCs w:val="24"/>
        </w:rPr>
        <w:t>n some cases, a greater density (density bonus) may be offered in the local ordinance to encourage this approach to residential development planning</w:t>
      </w:r>
      <w:r w:rsidR="006320FF" w:rsidRPr="008A5D0D">
        <w:rPr>
          <w:rFonts w:cs="Arial"/>
          <w:strike/>
          <w:color w:val="313335"/>
          <w:spacing w:val="2"/>
          <w:sz w:val="24"/>
          <w:szCs w:val="24"/>
          <w:highlight w:val="yellow"/>
        </w:rPr>
        <w:t>.</w:t>
      </w:r>
      <w:r w:rsidR="006320FF" w:rsidRPr="008A5D0D">
        <w:rPr>
          <w:rFonts w:cs="Arial"/>
          <w:color w:val="FF0000"/>
          <w:sz w:val="24"/>
          <w:szCs w:val="24"/>
          <w:highlight w:val="yellow"/>
        </w:rPr>
        <w:t xml:space="preserve"> </w:t>
      </w:r>
      <w:proofErr w:type="gramStart"/>
      <w:r w:rsidR="006320FF" w:rsidRPr="008A5D0D">
        <w:rPr>
          <w:rFonts w:cs="Arial"/>
          <w:color w:val="FF0000"/>
          <w:sz w:val="24"/>
          <w:szCs w:val="24"/>
          <w:highlight w:val="yellow"/>
        </w:rPr>
        <w:t>which</w:t>
      </w:r>
      <w:proofErr w:type="gramEnd"/>
      <w:r w:rsidR="006320FF" w:rsidRPr="008A5D0D">
        <w:rPr>
          <w:rFonts w:cs="Arial"/>
          <w:color w:val="FF0000"/>
          <w:sz w:val="24"/>
          <w:szCs w:val="24"/>
          <w:highlight w:val="yellow"/>
        </w:rPr>
        <w:t xml:space="preserve"> complies with the requirements of Article VI of Chapter 105 of these ordinances.</w:t>
      </w:r>
      <w:bookmarkStart w:id="1" w:name="_Hlk42077292"/>
    </w:p>
    <w:bookmarkEnd w:id="1"/>
    <w:p w14:paraId="056120C7" w14:textId="77777777" w:rsidR="006320FF" w:rsidRPr="00F90785" w:rsidRDefault="006320FF" w:rsidP="006320FF">
      <w:pPr>
        <w:pStyle w:val="p0"/>
      </w:pPr>
      <w:proofErr w:type="gramStart"/>
      <w:r>
        <w:rPr>
          <w:i/>
          <w:iCs/>
        </w:rPr>
        <w:t>…</w:t>
      </w:r>
      <w:r>
        <w:t>[</w:t>
      </w:r>
      <w:proofErr w:type="gramEnd"/>
      <w:r>
        <w:t>REMOVED FOR BREVITY]</w:t>
      </w:r>
    </w:p>
    <w:p w14:paraId="7A331F9F" w14:textId="77777777" w:rsidR="006320FF" w:rsidRDefault="006320FF" w:rsidP="006320FF">
      <w:pPr>
        <w:pStyle w:val="historynote0"/>
      </w:pPr>
      <w:r>
        <w:t xml:space="preserve">(Ord. of 7-20-2009, § 3) </w:t>
      </w:r>
    </w:p>
    <w:p w14:paraId="46EBEB37" w14:textId="77777777" w:rsidR="006320FF" w:rsidRPr="006320FF" w:rsidRDefault="006320FF" w:rsidP="006320FF">
      <w:pPr>
        <w:spacing w:after="0" w:line="240" w:lineRule="auto"/>
      </w:pPr>
    </w:p>
    <w:sectPr w:rsidR="006320FF" w:rsidRPr="006320F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noPunctuationKerning/>
  <w:characterSpacingControl w:val="doNotCompress"/>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714B196-62D3-4CCC-ABAF-9E17934D3AE9}"/>
    <w:docVar w:name="dgnword-eventsink" w:val="2257838649440"/>
  </w:docVars>
  <w:rsids>
    <w:rsidRoot w:val="00A4724B"/>
    <w:rsid w:val="000426A3"/>
    <w:rsid w:val="00153762"/>
    <w:rsid w:val="00160624"/>
    <w:rsid w:val="005D588B"/>
    <w:rsid w:val="006320FF"/>
    <w:rsid w:val="00790244"/>
    <w:rsid w:val="008A5D0D"/>
    <w:rsid w:val="009216F7"/>
    <w:rsid w:val="009548FE"/>
    <w:rsid w:val="00A4724B"/>
    <w:rsid w:val="00C62A9E"/>
    <w:rsid w:val="00EA5E71"/>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00338"/>
  <w15:chartTrackingRefBased/>
  <w15:docId w15:val="{9EB87ACF-B3EA-40F1-86D7-18F2DA57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Arial" w:eastAsia="Arial" w:hAnsi="Arial" w:cs="Arial"/>
      <w:b/>
      <w:bCs/>
      <w:sz w:val="28"/>
      <w:szCs w:val="28"/>
    </w:rPr>
  </w:style>
  <w:style w:type="paragraph" w:styleId="Heading2">
    <w:name w:val="heading 2"/>
    <w:basedOn w:val="Normal"/>
    <w:next w:val="Normal"/>
    <w:link w:val="Heading2Char"/>
    <w:unhideWhenUsed/>
    <w:qFormat/>
    <w:pPr>
      <w:keepNext/>
      <w:keepLines/>
      <w:spacing w:before="200" w:after="0"/>
      <w:outlineLvl w:val="1"/>
    </w:pPr>
    <w:rPr>
      <w:rFonts w:ascii="Arial" w:eastAsia="Arial" w:hAnsi="Arial" w:cs="Arial"/>
      <w:b/>
      <w:bCs/>
      <w:sz w:val="26"/>
      <w:szCs w:val="26"/>
    </w:rPr>
  </w:style>
  <w:style w:type="paragraph" w:styleId="Heading3">
    <w:name w:val="heading 3"/>
    <w:basedOn w:val="Normal"/>
    <w:next w:val="Normal"/>
    <w:link w:val="Heading3Char"/>
    <w:unhideWhenUsed/>
    <w:qFormat/>
    <w:pPr>
      <w:keepNext/>
      <w:keepLines/>
      <w:spacing w:before="200" w:after="0"/>
      <w:outlineLvl w:val="2"/>
    </w:pPr>
    <w:rPr>
      <w:rFonts w:ascii="Arial" w:eastAsia="Arial" w:hAnsi="Arial" w:cs="Arial"/>
      <w:b/>
      <w:bCs/>
    </w:rPr>
  </w:style>
  <w:style w:type="paragraph" w:styleId="Heading4">
    <w:name w:val="heading 4"/>
    <w:basedOn w:val="Normal"/>
    <w:next w:val="Normal"/>
    <w:link w:val="Heading4Char"/>
    <w:unhideWhenUsed/>
    <w:qFormat/>
    <w:pPr>
      <w:keepNext/>
      <w:keepLines/>
      <w:spacing w:before="200" w:after="0"/>
      <w:outlineLvl w:val="3"/>
    </w:pPr>
    <w:rPr>
      <w:rFonts w:ascii="Arial" w:eastAsia="Arial" w:hAnsi="Arial" w:cs="Arial"/>
      <w:b/>
      <w:bCs/>
      <w:i/>
      <w:iCs/>
    </w:rPr>
  </w:style>
  <w:style w:type="paragraph" w:styleId="Heading5">
    <w:name w:val="heading 5"/>
    <w:basedOn w:val="Normal"/>
    <w:next w:val="Normal"/>
    <w:link w:val="Heading5Char"/>
    <w:unhideWhenUsed/>
    <w:qFormat/>
    <w:pPr>
      <w:keepNext/>
      <w:keepLines/>
      <w:spacing w:before="200" w:after="0"/>
      <w:outlineLvl w:val="4"/>
    </w:pPr>
    <w:rPr>
      <w:rFonts w:ascii="Arial" w:eastAsia="Arial" w:hAnsi="Arial" w:cs="Arial"/>
    </w:rPr>
  </w:style>
  <w:style w:type="paragraph" w:styleId="Heading6">
    <w:name w:val="heading 6"/>
    <w:basedOn w:val="Normal"/>
    <w:next w:val="Normal"/>
    <w:link w:val="Heading6Char"/>
    <w:unhideWhenUsed/>
    <w:qFormat/>
    <w:pPr>
      <w:keepNext/>
      <w:keepLines/>
      <w:spacing w:before="200" w:after="0"/>
      <w:outlineLvl w:val="5"/>
    </w:pPr>
    <w:rPr>
      <w:rFonts w:ascii="Arial" w:eastAsia="Arial" w:hAnsi="Arial" w:cs="Arial"/>
      <w:i/>
      <w:iCs/>
    </w:rPr>
  </w:style>
  <w:style w:type="paragraph" w:styleId="Heading7">
    <w:name w:val="heading 7"/>
    <w:basedOn w:val="Normal"/>
    <w:next w:val="Normal"/>
    <w:link w:val="Heading7Char"/>
    <w:unhideWhenUsed/>
    <w:qFormat/>
    <w:pPr>
      <w:keepNext/>
      <w:keepLines/>
      <w:spacing w:before="200" w:after="0"/>
      <w:outlineLvl w:val="6"/>
    </w:pPr>
    <w:rPr>
      <w:rFonts w:ascii="Cambria" w:eastAsia="Cambria" w:hAnsi="Cambria" w:cs="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pPr>
      <w:spacing w:after="120" w:line="240" w:lineRule="auto"/>
      <w:ind w:left="432" w:hanging="432"/>
      <w:jc w:val="both"/>
    </w:pPr>
    <w:rPr>
      <w:rFonts w:ascii="Arial" w:eastAsia="Arial" w:hAnsi="Arial" w:cs="Arial"/>
      <w:sz w:val="20"/>
      <w:szCs w:val="20"/>
    </w:rPr>
  </w:style>
  <w:style w:type="paragraph" w:customStyle="1" w:styleId="list1">
    <w:name w:val="list1"/>
    <w:basedOn w:val="list0"/>
    <w:qFormat/>
    <w:pPr>
      <w:ind w:left="864"/>
    </w:pPr>
  </w:style>
  <w:style w:type="paragraph" w:styleId="List2">
    <w:name w:val="List 2"/>
    <w:basedOn w:val="list1"/>
    <w:qFormat/>
    <w:pPr>
      <w:ind w:left="1296"/>
    </w:pPr>
  </w:style>
  <w:style w:type="paragraph" w:styleId="List3">
    <w:name w:val="List 3"/>
    <w:basedOn w:val="List2"/>
    <w:qFormat/>
    <w:pPr>
      <w:ind w:left="1728"/>
    </w:pPr>
  </w:style>
  <w:style w:type="paragraph" w:styleId="List4">
    <w:name w:val="List 4"/>
    <w:basedOn w:val="List3"/>
    <w:qFormat/>
    <w:pPr>
      <w:ind w:left="2160"/>
    </w:pPr>
  </w:style>
  <w:style w:type="paragraph" w:styleId="List5">
    <w:name w:val="List 5"/>
    <w:basedOn w:val="List4"/>
    <w:qFormat/>
    <w:pPr>
      <w:ind w:left="2592"/>
    </w:pPr>
  </w:style>
  <w:style w:type="paragraph" w:customStyle="1" w:styleId="list6">
    <w:name w:val="list6"/>
    <w:basedOn w:val="List5"/>
    <w:qFormat/>
    <w:pPr>
      <w:ind w:left="3024"/>
    </w:pPr>
  </w:style>
  <w:style w:type="paragraph" w:customStyle="1" w:styleId="list7">
    <w:name w:val="list7"/>
    <w:basedOn w:val="list6"/>
    <w:qFormat/>
    <w:pPr>
      <w:ind w:left="3456"/>
    </w:pPr>
  </w:style>
  <w:style w:type="paragraph" w:customStyle="1" w:styleId="list8">
    <w:name w:val="list8"/>
    <w:basedOn w:val="list7"/>
    <w:qFormat/>
    <w:pPr>
      <w:ind w:left="3888"/>
    </w:pPr>
  </w:style>
  <w:style w:type="paragraph" w:customStyle="1" w:styleId="p0">
    <w:name w:val="p0"/>
    <w:basedOn w:val="Normal"/>
    <w:qFormat/>
    <w:pPr>
      <w:spacing w:after="120" w:line="240" w:lineRule="auto"/>
      <w:ind w:firstLine="432"/>
    </w:pPr>
    <w:rPr>
      <w:rFonts w:ascii="Arial" w:eastAsia="Arial" w:hAnsi="Arial"/>
      <w:sz w:val="20"/>
    </w:rPr>
  </w:style>
  <w:style w:type="paragraph" w:customStyle="1" w:styleId="p1">
    <w:name w:val="p1"/>
    <w:basedOn w:val="p0"/>
    <w:qFormat/>
    <w:pPr>
      <w:ind w:left="432"/>
    </w:pPr>
  </w:style>
  <w:style w:type="paragraph" w:customStyle="1" w:styleId="p2">
    <w:name w:val="p2"/>
    <w:basedOn w:val="p1"/>
    <w:qFormat/>
    <w:pPr>
      <w:ind w:left="864"/>
    </w:pPr>
  </w:style>
  <w:style w:type="paragraph" w:customStyle="1" w:styleId="p3">
    <w:name w:val="p3"/>
    <w:basedOn w:val="p2"/>
    <w:qFormat/>
    <w:pPr>
      <w:ind w:left="1296"/>
    </w:pPr>
  </w:style>
  <w:style w:type="paragraph" w:customStyle="1" w:styleId="p4">
    <w:name w:val="p4"/>
    <w:basedOn w:val="p3"/>
    <w:qFormat/>
    <w:pPr>
      <w:ind w:left="1728"/>
    </w:pPr>
  </w:style>
  <w:style w:type="paragraph" w:customStyle="1" w:styleId="p5">
    <w:name w:val="p5"/>
    <w:basedOn w:val="p4"/>
    <w:qFormat/>
    <w:pPr>
      <w:ind w:left="2160"/>
    </w:pPr>
  </w:style>
  <w:style w:type="paragraph" w:customStyle="1" w:styleId="p6">
    <w:name w:val="p6"/>
    <w:basedOn w:val="p5"/>
    <w:qFormat/>
    <w:pPr>
      <w:ind w:left="2592"/>
    </w:pPr>
  </w:style>
  <w:style w:type="paragraph" w:customStyle="1" w:styleId="p7">
    <w:name w:val="p7"/>
    <w:basedOn w:val="p6"/>
    <w:qFormat/>
    <w:pPr>
      <w:ind w:left="3024"/>
    </w:pPr>
  </w:style>
  <w:style w:type="paragraph" w:customStyle="1" w:styleId="p8">
    <w:name w:val="p8"/>
    <w:basedOn w:val="p7"/>
    <w:qFormat/>
    <w:pPr>
      <w:ind w:left="3456"/>
    </w:pPr>
  </w:style>
  <w:style w:type="paragraph" w:customStyle="1" w:styleId="b0">
    <w:name w:val="b0"/>
    <w:basedOn w:val="Normal"/>
    <w:qFormat/>
    <w:pPr>
      <w:spacing w:line="240" w:lineRule="auto"/>
    </w:pPr>
    <w:rPr>
      <w:rFonts w:ascii="Arial" w:eastAsia="Arial" w:hAnsi="Arial" w:cs="Arial"/>
      <w:sz w:val="20"/>
      <w:szCs w:val="20"/>
    </w:rPr>
  </w:style>
  <w:style w:type="paragraph" w:customStyle="1" w:styleId="b1">
    <w:name w:val="b1"/>
    <w:basedOn w:val="b0"/>
    <w:qFormat/>
    <w:pPr>
      <w:ind w:left="432"/>
    </w:pPr>
  </w:style>
  <w:style w:type="paragraph" w:customStyle="1" w:styleId="b2">
    <w:name w:val="b2"/>
    <w:basedOn w:val="b1"/>
    <w:qFormat/>
    <w:pPr>
      <w:ind w:left="864"/>
    </w:pPr>
  </w:style>
  <w:style w:type="paragraph" w:customStyle="1" w:styleId="b3">
    <w:name w:val="b3"/>
    <w:basedOn w:val="b2"/>
    <w:qFormat/>
    <w:pPr>
      <w:ind w:left="1296"/>
    </w:pPr>
  </w:style>
  <w:style w:type="paragraph" w:customStyle="1" w:styleId="b4">
    <w:name w:val="b4"/>
    <w:basedOn w:val="b3"/>
    <w:qFormat/>
    <w:pPr>
      <w:ind w:left="1728"/>
    </w:pPr>
  </w:style>
  <w:style w:type="paragraph" w:customStyle="1" w:styleId="b5">
    <w:name w:val="b5"/>
    <w:basedOn w:val="b4"/>
    <w:qFormat/>
    <w:pPr>
      <w:ind w:left="2160"/>
    </w:pPr>
  </w:style>
  <w:style w:type="paragraph" w:customStyle="1" w:styleId="b6">
    <w:name w:val="b6"/>
    <w:basedOn w:val="b5"/>
    <w:qFormat/>
    <w:pPr>
      <w:ind w:left="2592"/>
    </w:pPr>
  </w:style>
  <w:style w:type="paragraph" w:customStyle="1" w:styleId="b7">
    <w:name w:val="b7"/>
    <w:basedOn w:val="b6"/>
    <w:qFormat/>
    <w:pPr>
      <w:ind w:left="3024"/>
    </w:pPr>
  </w:style>
  <w:style w:type="paragraph" w:customStyle="1" w:styleId="b8">
    <w:name w:val="b8"/>
    <w:basedOn w:val="b7"/>
    <w:qFormat/>
    <w:pPr>
      <w:ind w:left="3456"/>
    </w:pPr>
  </w:style>
  <w:style w:type="paragraph" w:customStyle="1" w:styleId="h0">
    <w:name w:val="h0"/>
    <w:basedOn w:val="Normal"/>
    <w:link w:val="h0Char"/>
    <w:qFormat/>
    <w:pPr>
      <w:spacing w:line="240" w:lineRule="auto"/>
      <w:ind w:left="432" w:hanging="432"/>
    </w:pPr>
    <w:rPr>
      <w:rFonts w:ascii="Arial" w:eastAsia="Arial" w:hAnsi="Arial"/>
      <w:sz w:val="20"/>
    </w:rPr>
  </w:style>
  <w:style w:type="paragraph" w:customStyle="1" w:styleId="h1">
    <w:name w:val="h1"/>
    <w:basedOn w:val="h0"/>
    <w:link w:val="h1Char"/>
    <w:qFormat/>
    <w:pPr>
      <w:ind w:left="864"/>
    </w:pPr>
  </w:style>
  <w:style w:type="paragraph" w:customStyle="1" w:styleId="h2">
    <w:name w:val="h2"/>
    <w:basedOn w:val="h1"/>
    <w:link w:val="h2Char"/>
    <w:qFormat/>
    <w:pPr>
      <w:ind w:left="1296"/>
    </w:pPr>
  </w:style>
  <w:style w:type="paragraph" w:customStyle="1" w:styleId="h3">
    <w:name w:val="h3"/>
    <w:basedOn w:val="h2"/>
    <w:link w:val="h3Char"/>
    <w:qFormat/>
    <w:pPr>
      <w:ind w:left="1728"/>
    </w:pPr>
  </w:style>
  <w:style w:type="paragraph" w:customStyle="1" w:styleId="h4">
    <w:name w:val="h4"/>
    <w:basedOn w:val="h3"/>
    <w:link w:val="h4Char"/>
    <w:qFormat/>
    <w:pPr>
      <w:ind w:left="2160"/>
    </w:pPr>
  </w:style>
  <w:style w:type="paragraph" w:customStyle="1" w:styleId="h5">
    <w:name w:val="h5"/>
    <w:basedOn w:val="h4"/>
    <w:link w:val="h5Char"/>
    <w:qFormat/>
    <w:pPr>
      <w:ind w:left="2592"/>
    </w:pPr>
  </w:style>
  <w:style w:type="paragraph" w:customStyle="1" w:styleId="h6">
    <w:name w:val="h6"/>
    <w:basedOn w:val="h5"/>
    <w:link w:val="h6Char"/>
    <w:qFormat/>
    <w:pPr>
      <w:ind w:left="3024"/>
    </w:pPr>
  </w:style>
  <w:style w:type="paragraph" w:customStyle="1" w:styleId="h7">
    <w:name w:val="h7"/>
    <w:basedOn w:val="h6"/>
    <w:link w:val="h7Char"/>
    <w:qFormat/>
    <w:pPr>
      <w:ind w:left="3456"/>
    </w:pPr>
  </w:style>
  <w:style w:type="paragraph" w:customStyle="1" w:styleId="h8">
    <w:name w:val="h8"/>
    <w:basedOn w:val="h7"/>
    <w:qFormat/>
    <w:pPr>
      <w:ind w:left="3888"/>
    </w:pPr>
  </w:style>
  <w:style w:type="paragraph" w:customStyle="1" w:styleId="seclink">
    <w:name w:val="seclink"/>
    <w:basedOn w:val="Normal"/>
    <w:qFormat/>
    <w:pPr>
      <w:spacing w:after="120" w:line="240" w:lineRule="auto"/>
    </w:pPr>
    <w:rPr>
      <w:rFonts w:ascii="Arial" w:eastAsia="Arial" w:hAnsi="Arial"/>
      <w:color w:val="0000FF"/>
      <w:sz w:val="20"/>
    </w:rPr>
  </w:style>
  <w:style w:type="character" w:styleId="Hyperlink">
    <w:name w:val="Hyperlink"/>
    <w:unhideWhenUsed/>
    <w:qFormat/>
    <w:rPr>
      <w:rFonts w:ascii="Arial" w:eastAsia="Arial" w:hAnsi="Arial"/>
      <w:color w:val="0000FF"/>
      <w:sz w:val="20"/>
      <w:u w:val="single"/>
    </w:rPr>
  </w:style>
  <w:style w:type="paragraph" w:customStyle="1" w:styleId="historynote">
    <w:name w:val="historynote"/>
    <w:basedOn w:val="Normal"/>
    <w:qFormat/>
    <w:pPr>
      <w:tabs>
        <w:tab w:val="right" w:pos="9180"/>
      </w:tabs>
      <w:spacing w:after="120" w:line="240" w:lineRule="auto"/>
      <w:ind w:left="432"/>
    </w:pPr>
    <w:rPr>
      <w:rFonts w:ascii="Arial" w:eastAsia="Arial" w:hAnsi="Arial"/>
      <w:color w:val="7F7F7F"/>
      <w:sz w:val="20"/>
    </w:rPr>
  </w:style>
  <w:style w:type="paragraph" w:customStyle="1" w:styleId="bc0">
    <w:name w:val="bc0"/>
    <w:basedOn w:val="b0"/>
    <w:qFormat/>
    <w:pPr>
      <w:spacing w:after="120"/>
      <w:jc w:val="center"/>
    </w:pPr>
  </w:style>
  <w:style w:type="paragraph" w:customStyle="1" w:styleId="sec">
    <w:name w:val="sec"/>
    <w:basedOn w:val="Normal"/>
    <w:qFormat/>
    <w:pPr>
      <w:keepNext/>
      <w:spacing w:before="360"/>
    </w:pPr>
    <w:rPr>
      <w:rFonts w:ascii="Arial" w:eastAsia="Arial" w:hAnsi="Arial"/>
      <w:b/>
      <w:color w:val="404040"/>
    </w:rPr>
  </w:style>
  <w:style w:type="character" w:customStyle="1" w:styleId="Heading1Char">
    <w:name w:val="Heading 1 Char"/>
    <w:link w:val="Heading1"/>
    <w:rPr>
      <w:rFonts w:ascii="Arial" w:eastAsia="Arial" w:hAnsi="Arial" w:cs="Arial"/>
      <w:b/>
      <w:bCs/>
      <w:sz w:val="28"/>
      <w:szCs w:val="28"/>
    </w:rPr>
  </w:style>
  <w:style w:type="character" w:customStyle="1" w:styleId="Heading2Char">
    <w:name w:val="Heading 2 Char"/>
    <w:link w:val="Heading2"/>
    <w:rPr>
      <w:rFonts w:ascii="Arial" w:eastAsia="Arial" w:hAnsi="Arial" w:cs="Arial"/>
      <w:b/>
      <w:bCs/>
      <w:sz w:val="26"/>
      <w:szCs w:val="26"/>
    </w:rPr>
  </w:style>
  <w:style w:type="character" w:customStyle="1" w:styleId="Heading3Char">
    <w:name w:val="Heading 3 Char"/>
    <w:link w:val="Heading3"/>
    <w:rPr>
      <w:rFonts w:ascii="Arial" w:eastAsia="Arial" w:hAnsi="Arial" w:cs="Arial"/>
      <w:b/>
      <w:bCs/>
    </w:rPr>
  </w:style>
  <w:style w:type="character" w:customStyle="1" w:styleId="Heading4Char">
    <w:name w:val="Heading 4 Char"/>
    <w:link w:val="Heading4"/>
    <w:rPr>
      <w:rFonts w:ascii="Arial" w:eastAsia="Arial" w:hAnsi="Arial" w:cs="Arial"/>
      <w:b/>
      <w:bCs/>
      <w:i/>
      <w:iCs/>
    </w:rPr>
  </w:style>
  <w:style w:type="character" w:customStyle="1" w:styleId="Heading5Char">
    <w:name w:val="Heading 5 Char"/>
    <w:link w:val="Heading5"/>
    <w:rPr>
      <w:rFonts w:ascii="Arial" w:eastAsia="Arial" w:hAnsi="Arial" w:cs="Arial"/>
    </w:rPr>
  </w:style>
  <w:style w:type="character" w:customStyle="1" w:styleId="Heading6Char">
    <w:name w:val="Heading 6 Char"/>
    <w:link w:val="Heading6"/>
    <w:rPr>
      <w:rFonts w:ascii="Arial" w:eastAsia="Arial" w:hAnsi="Arial" w:cs="Arial"/>
      <w:i/>
      <w:iCs/>
    </w:rPr>
  </w:style>
  <w:style w:type="character" w:customStyle="1" w:styleId="Heading7Char">
    <w:name w:val="Heading 7 Char"/>
    <w:link w:val="Heading7"/>
    <w:rPr>
      <w:rFonts w:ascii="Cambria" w:eastAsia="Cambria" w:hAnsi="Cambria" w:cs="Cambria"/>
      <w:i/>
      <w:iCs/>
      <w:color w:val="404040"/>
    </w:rPr>
  </w:style>
  <w:style w:type="paragraph" w:styleId="Title">
    <w:name w:val="Title"/>
    <w:basedOn w:val="Normal"/>
    <w:next w:val="Normal"/>
    <w:link w:val="TitleChar"/>
    <w:qFormat/>
    <w:pPr>
      <w:pBdr>
        <w:bottom w:val="single" w:sz="8" w:space="4" w:color="4F81BD"/>
      </w:pBdr>
      <w:spacing w:after="300" w:line="240" w:lineRule="auto"/>
      <w:contextualSpacing/>
    </w:pPr>
    <w:rPr>
      <w:rFonts w:ascii="Arial" w:eastAsia="Arial" w:hAnsi="Arial" w:cs="Arial"/>
      <w:spacing w:val="5"/>
      <w:kern w:val="28"/>
      <w:sz w:val="52"/>
      <w:szCs w:val="52"/>
    </w:rPr>
  </w:style>
  <w:style w:type="character" w:customStyle="1" w:styleId="TitleChar">
    <w:name w:val="Title Char"/>
    <w:link w:val="Title"/>
    <w:rPr>
      <w:rFonts w:ascii="Arial" w:eastAsia="Arial" w:hAnsi="Arial" w:cs="Arial"/>
      <w:spacing w:val="5"/>
      <w:kern w:val="28"/>
      <w:sz w:val="52"/>
      <w:szCs w:val="52"/>
    </w:rPr>
  </w:style>
  <w:style w:type="paragraph" w:styleId="Subtitle">
    <w:name w:val="Subtitle"/>
    <w:basedOn w:val="Normal"/>
    <w:next w:val="Normal"/>
    <w:link w:val="SubtitleChar"/>
    <w:qFormat/>
    <w:pPr>
      <w:numPr>
        <w:ilvl w:val="1"/>
      </w:numPr>
    </w:pPr>
    <w:rPr>
      <w:rFonts w:ascii="Arial" w:eastAsia="Arial" w:hAnsi="Arial" w:cs="Arial"/>
      <w:i/>
      <w:iCs/>
      <w:spacing w:val="15"/>
      <w:sz w:val="24"/>
      <w:szCs w:val="24"/>
    </w:rPr>
  </w:style>
  <w:style w:type="character" w:customStyle="1" w:styleId="SubtitleChar">
    <w:name w:val="Subtitle Char"/>
    <w:link w:val="Subtitle"/>
    <w:rPr>
      <w:rFonts w:ascii="Arial" w:eastAsia="Arial" w:hAnsi="Arial" w:cs="Arial"/>
      <w:i/>
      <w:iCs/>
      <w:spacing w:val="15"/>
      <w:sz w:val="24"/>
      <w:szCs w:val="24"/>
    </w:rPr>
  </w:style>
  <w:style w:type="paragraph" w:customStyle="1" w:styleId="r0">
    <w:name w:val="r0"/>
    <w:basedOn w:val="Normal"/>
    <w:qFormat/>
    <w:pPr>
      <w:spacing w:after="120" w:line="240" w:lineRule="auto"/>
      <w:jc w:val="both"/>
    </w:pPr>
    <w:rPr>
      <w:rFonts w:ascii="Arial" w:eastAsia="Arial" w:hAnsi="Arial"/>
      <w:sz w:val="20"/>
    </w:rPr>
  </w:style>
  <w:style w:type="paragraph" w:customStyle="1" w:styleId="listml0">
    <w:name w:val="listml0"/>
    <w:basedOn w:val="list0"/>
    <w:qFormat/>
    <w:pPr>
      <w:tabs>
        <w:tab w:val="left" w:pos="432"/>
        <w:tab w:val="left" w:pos="864"/>
      </w:tabs>
      <w:ind w:left="864" w:hanging="864"/>
    </w:pPr>
  </w:style>
  <w:style w:type="paragraph" w:customStyle="1" w:styleId="listml1">
    <w:name w:val="listml1"/>
    <w:basedOn w:val="list1"/>
    <w:qFormat/>
    <w:pPr>
      <w:tabs>
        <w:tab w:val="left" w:pos="864"/>
        <w:tab w:val="left" w:pos="1296"/>
      </w:tabs>
      <w:ind w:left="1296" w:hanging="864"/>
    </w:pPr>
  </w:style>
  <w:style w:type="paragraph" w:customStyle="1" w:styleId="listml2">
    <w:name w:val="listml2"/>
    <w:basedOn w:val="List2"/>
    <w:qFormat/>
    <w:pPr>
      <w:tabs>
        <w:tab w:val="left" w:pos="1296"/>
        <w:tab w:val="left" w:pos="1728"/>
      </w:tabs>
      <w:ind w:left="1728" w:hanging="864"/>
    </w:pPr>
  </w:style>
  <w:style w:type="paragraph" w:customStyle="1" w:styleId="listml3">
    <w:name w:val="listml3"/>
    <w:basedOn w:val="List3"/>
    <w:qFormat/>
    <w:pPr>
      <w:tabs>
        <w:tab w:val="left" w:pos="1728"/>
        <w:tab w:val="left" w:pos="2160"/>
      </w:tabs>
      <w:ind w:left="2160" w:hanging="864"/>
    </w:pPr>
  </w:style>
  <w:style w:type="paragraph" w:customStyle="1" w:styleId="listml4">
    <w:name w:val="listml4"/>
    <w:basedOn w:val="List4"/>
    <w:qFormat/>
    <w:pPr>
      <w:tabs>
        <w:tab w:val="left" w:pos="2160"/>
        <w:tab w:val="left" w:pos="2592"/>
      </w:tabs>
      <w:ind w:left="2592" w:hanging="864"/>
    </w:pPr>
  </w:style>
  <w:style w:type="paragraph" w:customStyle="1" w:styleId="listml5">
    <w:name w:val="listml5"/>
    <w:basedOn w:val="List5"/>
    <w:qFormat/>
    <w:pPr>
      <w:tabs>
        <w:tab w:val="left" w:pos="2592"/>
        <w:tab w:val="left" w:pos="3024"/>
      </w:tabs>
      <w:ind w:left="3024" w:hanging="864"/>
    </w:pPr>
  </w:style>
  <w:style w:type="paragraph" w:customStyle="1" w:styleId="listml6">
    <w:name w:val="listml6"/>
    <w:basedOn w:val="list6"/>
    <w:qFormat/>
    <w:pPr>
      <w:tabs>
        <w:tab w:val="left" w:pos="3024"/>
        <w:tab w:val="left" w:pos="3456"/>
      </w:tabs>
      <w:ind w:left="3456" w:hanging="864"/>
    </w:pPr>
  </w:style>
  <w:style w:type="paragraph" w:customStyle="1" w:styleId="listml7">
    <w:name w:val="listml7"/>
    <w:basedOn w:val="list7"/>
    <w:qFormat/>
    <w:pPr>
      <w:tabs>
        <w:tab w:val="left" w:pos="3456"/>
        <w:tab w:val="left" w:pos="3888"/>
      </w:tabs>
      <w:ind w:left="3888" w:hanging="864"/>
    </w:pPr>
  </w:style>
  <w:style w:type="paragraph" w:customStyle="1" w:styleId="listml8">
    <w:name w:val="listml8"/>
    <w:basedOn w:val="list8"/>
    <w:qFormat/>
    <w:pPr>
      <w:tabs>
        <w:tab w:val="left" w:pos="3888"/>
        <w:tab w:val="left" w:pos="4320"/>
      </w:tabs>
      <w:ind w:left="4320" w:hanging="864"/>
    </w:pPr>
  </w:style>
  <w:style w:type="paragraph" w:customStyle="1" w:styleId="b18q">
    <w:name w:val="b1_8q"/>
    <w:basedOn w:val="b1"/>
    <w:qFormat/>
    <w:pPr>
      <w:spacing w:after="160"/>
    </w:pPr>
    <w:rPr>
      <w:sz w:val="16"/>
    </w:rPr>
  </w:style>
  <w:style w:type="paragraph" w:customStyle="1" w:styleId="refmanualfn">
    <w:name w:val="refmanualfn"/>
    <w:basedOn w:val="historynote"/>
    <w:qFormat/>
    <w:pPr>
      <w:ind w:left="0"/>
    </w:pPr>
  </w:style>
  <w:style w:type="paragraph" w:customStyle="1" w:styleId="refeditorfn">
    <w:name w:val="refeditorfn"/>
    <w:basedOn w:val="historynote"/>
    <w:qFormat/>
    <w:pPr>
      <w:ind w:left="0"/>
    </w:pPr>
  </w:style>
  <w:style w:type="paragraph" w:customStyle="1" w:styleId="refgenericfn">
    <w:name w:val="refgenericfn"/>
    <w:basedOn w:val="historynote"/>
    <w:qFormat/>
    <w:pPr>
      <w:ind w:left="0"/>
    </w:pPr>
  </w:style>
  <w:style w:type="paragraph" w:customStyle="1" w:styleId="refcharterfn">
    <w:name w:val="refcharterfn"/>
    <w:basedOn w:val="historynote"/>
    <w:qFormat/>
    <w:pPr>
      <w:ind w:left="0"/>
    </w:pPr>
  </w:style>
  <w:style w:type="paragraph" w:customStyle="1" w:styleId="refcrossfn">
    <w:name w:val="refcrossfn"/>
    <w:basedOn w:val="historynote"/>
    <w:qFormat/>
    <w:pPr>
      <w:ind w:left="0"/>
    </w:pPr>
  </w:style>
  <w:style w:type="paragraph" w:customStyle="1" w:styleId="refstateconstfn">
    <w:name w:val="refstateconstfn"/>
    <w:basedOn w:val="historynote"/>
    <w:qFormat/>
    <w:pPr>
      <w:ind w:left="0"/>
    </w:pPr>
  </w:style>
  <w:style w:type="paragraph" w:customStyle="1" w:styleId="refcaselawfn">
    <w:name w:val="refcaselawfn"/>
    <w:basedOn w:val="historynote"/>
    <w:qFormat/>
    <w:pPr>
      <w:ind w:left="0"/>
    </w:pPr>
  </w:style>
  <w:style w:type="paragraph" w:customStyle="1" w:styleId="refcaselawanno">
    <w:name w:val="refcaselawanno"/>
    <w:basedOn w:val="historynote"/>
    <w:qFormat/>
    <w:pPr>
      <w:ind w:left="0"/>
    </w:pPr>
  </w:style>
  <w:style w:type="paragraph" w:customStyle="1" w:styleId="refnotefn">
    <w:name w:val="refnotefn"/>
    <w:basedOn w:val="historynote"/>
    <w:qFormat/>
    <w:pPr>
      <w:ind w:left="0"/>
    </w:pPr>
  </w:style>
  <w:style w:type="paragraph" w:customStyle="1" w:styleId="refstatelawfn">
    <w:name w:val="refstatelawfn"/>
    <w:basedOn w:val="historynote"/>
    <w:qFormat/>
    <w:pPr>
      <w:ind w:left="0"/>
    </w:pPr>
  </w:style>
  <w:style w:type="paragraph" w:customStyle="1" w:styleId="subsec1">
    <w:name w:val="subsec1"/>
    <w:basedOn w:val="sec"/>
    <w:qFormat/>
    <w:pPr>
      <w:spacing w:before="240"/>
    </w:pPr>
    <w:rPr>
      <w:sz w:val="20"/>
    </w:rPr>
  </w:style>
  <w:style w:type="character" w:styleId="FollowedHyperlink">
    <w:name w:val="FollowedHyperlink"/>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refnote">
    <w:name w:val="refnote"/>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paragraph" w:customStyle="1" w:styleId="hg0">
    <w:name w:val="hg0"/>
    <w:link w:val="hg0Char"/>
    <w:qFormat/>
    <w:pPr>
      <w:spacing w:after="120"/>
      <w:ind w:left="432" w:hanging="432"/>
    </w:pPr>
    <w:rPr>
      <w:rFonts w:ascii="Arial" w:eastAsia="Arial" w:hAnsi="Arial"/>
    </w:rPr>
  </w:style>
  <w:style w:type="paragraph" w:customStyle="1" w:styleId="hg1">
    <w:name w:val="hg1"/>
    <w:basedOn w:val="hg0"/>
    <w:link w:val="hg1Char"/>
    <w:qFormat/>
    <w:pPr>
      <w:ind w:left="864"/>
    </w:pPr>
  </w:style>
  <w:style w:type="paragraph" w:customStyle="1" w:styleId="hg2">
    <w:name w:val="hg2"/>
    <w:basedOn w:val="hg1"/>
    <w:link w:val="hg2Char"/>
    <w:qFormat/>
    <w:pPr>
      <w:ind w:left="1296"/>
    </w:pPr>
  </w:style>
  <w:style w:type="paragraph" w:customStyle="1" w:styleId="hg3">
    <w:name w:val="hg3"/>
    <w:basedOn w:val="hg2"/>
    <w:link w:val="hg3Char"/>
    <w:qFormat/>
    <w:pPr>
      <w:ind w:left="1728"/>
    </w:pPr>
  </w:style>
  <w:style w:type="paragraph" w:customStyle="1" w:styleId="hg4">
    <w:name w:val="hg4"/>
    <w:basedOn w:val="hg3"/>
    <w:link w:val="hg4Char"/>
    <w:qFormat/>
    <w:pPr>
      <w:ind w:left="2160"/>
    </w:pPr>
  </w:style>
  <w:style w:type="paragraph" w:customStyle="1" w:styleId="hg5">
    <w:name w:val="hg5"/>
    <w:basedOn w:val="hg4"/>
    <w:link w:val="hg5Char"/>
    <w:qFormat/>
    <w:pPr>
      <w:ind w:left="2592"/>
    </w:pPr>
  </w:style>
  <w:style w:type="paragraph" w:customStyle="1" w:styleId="hg6">
    <w:name w:val="hg6"/>
    <w:basedOn w:val="hg5"/>
    <w:link w:val="hg6Char"/>
    <w:qFormat/>
    <w:pPr>
      <w:ind w:left="3024"/>
    </w:pPr>
  </w:style>
  <w:style w:type="paragraph" w:customStyle="1" w:styleId="hg7">
    <w:name w:val="hg7"/>
    <w:basedOn w:val="hg6"/>
    <w:link w:val="hg7Char"/>
    <w:qFormat/>
    <w:pPr>
      <w:ind w:left="3456"/>
    </w:pPr>
  </w:style>
  <w:style w:type="paragraph" w:customStyle="1" w:styleId="hg0-em">
    <w:name w:val="hg0-em"/>
    <w:basedOn w:val="h0"/>
    <w:link w:val="hg0-emChar"/>
    <w:pPr>
      <w:ind w:left="200" w:hanging="200"/>
    </w:pPr>
  </w:style>
  <w:style w:type="character" w:customStyle="1" w:styleId="h0Char">
    <w:name w:val="h0 Char"/>
    <w:link w:val="h0"/>
    <w:rPr>
      <w:rFonts w:ascii="Arial" w:eastAsia="Arial" w:hAnsi="Arial"/>
      <w:sz w:val="20"/>
    </w:rPr>
  </w:style>
  <w:style w:type="character" w:customStyle="1" w:styleId="hg0-emChar">
    <w:name w:val="hg0-em Char"/>
    <w:link w:val="hg0-em"/>
    <w:rPr>
      <w:rFonts w:ascii="Arial" w:eastAsia="Arial" w:hAnsi="Arial"/>
      <w:color w:val="808080"/>
      <w:sz w:val="20"/>
    </w:rPr>
  </w:style>
  <w:style w:type="paragraph" w:customStyle="1" w:styleId="hgem0">
    <w:name w:val="hgem0"/>
    <w:basedOn w:val="hg0"/>
    <w:link w:val="hgem0Char"/>
    <w:qFormat/>
    <w:pPr>
      <w:ind w:left="216" w:hanging="216"/>
    </w:pPr>
  </w:style>
  <w:style w:type="paragraph" w:customStyle="1" w:styleId="hgem1">
    <w:name w:val="hgem1"/>
    <w:basedOn w:val="hg1"/>
    <w:link w:val="hgem1Char"/>
    <w:qFormat/>
    <w:pPr>
      <w:ind w:left="648" w:hanging="216"/>
    </w:pPr>
  </w:style>
  <w:style w:type="character" w:customStyle="1" w:styleId="hg0Char">
    <w:name w:val="hg0 Char"/>
    <w:link w:val="hg0"/>
    <w:rPr>
      <w:rFonts w:ascii="Arial" w:eastAsia="Arial" w:hAnsi="Arial"/>
      <w:sz w:val="20"/>
    </w:rPr>
  </w:style>
  <w:style w:type="character" w:customStyle="1" w:styleId="hgem0Char">
    <w:name w:val="hgem0 Char"/>
    <w:link w:val="hgem0"/>
    <w:rPr>
      <w:rFonts w:ascii="Arial" w:eastAsia="Arial" w:hAnsi="Arial"/>
      <w:sz w:val="20"/>
    </w:rPr>
  </w:style>
  <w:style w:type="paragraph" w:customStyle="1" w:styleId="hgem2">
    <w:name w:val="hgem2"/>
    <w:basedOn w:val="hg2"/>
    <w:link w:val="hgem2Char"/>
    <w:qFormat/>
    <w:pPr>
      <w:ind w:left="1080" w:hanging="216"/>
    </w:pPr>
  </w:style>
  <w:style w:type="character" w:customStyle="1" w:styleId="hg1Char">
    <w:name w:val="hg1 Char"/>
    <w:link w:val="hg1"/>
    <w:rPr>
      <w:rFonts w:ascii="Arial" w:eastAsia="Arial" w:hAnsi="Arial"/>
      <w:sz w:val="20"/>
    </w:rPr>
  </w:style>
  <w:style w:type="character" w:customStyle="1" w:styleId="hgem1Char">
    <w:name w:val="hgem1 Char"/>
    <w:link w:val="hgem1"/>
    <w:rPr>
      <w:rFonts w:ascii="Arial" w:eastAsia="Arial" w:hAnsi="Arial"/>
      <w:sz w:val="20"/>
    </w:rPr>
  </w:style>
  <w:style w:type="paragraph" w:customStyle="1" w:styleId="hgem3">
    <w:name w:val="hgem3"/>
    <w:basedOn w:val="hg3"/>
    <w:link w:val="hgem3Char"/>
    <w:qFormat/>
    <w:pPr>
      <w:ind w:left="1512" w:hanging="216"/>
    </w:pPr>
  </w:style>
  <w:style w:type="character" w:customStyle="1" w:styleId="hg2Char">
    <w:name w:val="hg2 Char"/>
    <w:link w:val="hg2"/>
    <w:rPr>
      <w:rFonts w:ascii="Arial" w:eastAsia="Arial" w:hAnsi="Arial"/>
      <w:sz w:val="20"/>
    </w:rPr>
  </w:style>
  <w:style w:type="character" w:customStyle="1" w:styleId="hgem2Char">
    <w:name w:val="hgem2 Char"/>
    <w:link w:val="hgem2"/>
    <w:rPr>
      <w:rFonts w:ascii="Arial" w:eastAsia="Arial" w:hAnsi="Arial"/>
      <w:sz w:val="20"/>
    </w:rPr>
  </w:style>
  <w:style w:type="paragraph" w:customStyle="1" w:styleId="hgem4">
    <w:name w:val="hgem4"/>
    <w:basedOn w:val="h4"/>
    <w:link w:val="hgem4Char"/>
    <w:qFormat/>
    <w:pPr>
      <w:ind w:left="1944" w:hanging="216"/>
    </w:pPr>
  </w:style>
  <w:style w:type="character" w:customStyle="1" w:styleId="hg3Char">
    <w:name w:val="hg3 Char"/>
    <w:link w:val="hg3"/>
    <w:rPr>
      <w:rFonts w:ascii="Arial" w:eastAsia="Arial" w:hAnsi="Arial"/>
      <w:sz w:val="20"/>
    </w:rPr>
  </w:style>
  <w:style w:type="character" w:customStyle="1" w:styleId="hgem3Char">
    <w:name w:val="hgem3 Char"/>
    <w:link w:val="hgem3"/>
    <w:rPr>
      <w:rFonts w:ascii="Arial" w:eastAsia="Arial" w:hAnsi="Arial"/>
      <w:sz w:val="20"/>
    </w:rPr>
  </w:style>
  <w:style w:type="paragraph" w:customStyle="1" w:styleId="hgem5">
    <w:name w:val="hgem5"/>
    <w:basedOn w:val="h5"/>
    <w:link w:val="hgem5Char"/>
    <w:qFormat/>
    <w:pPr>
      <w:ind w:left="2376" w:hanging="216"/>
    </w:pPr>
  </w:style>
  <w:style w:type="character" w:customStyle="1" w:styleId="h1Char">
    <w:name w:val="h1 Char"/>
    <w:link w:val="h1"/>
    <w:rPr>
      <w:rFonts w:ascii="Arial" w:eastAsia="Arial" w:hAnsi="Arial"/>
      <w:sz w:val="20"/>
    </w:rPr>
  </w:style>
  <w:style w:type="character" w:customStyle="1" w:styleId="h2Char">
    <w:name w:val="h2 Char"/>
    <w:link w:val="h2"/>
    <w:rPr>
      <w:rFonts w:ascii="Arial" w:eastAsia="Arial" w:hAnsi="Arial"/>
      <w:sz w:val="20"/>
    </w:rPr>
  </w:style>
  <w:style w:type="character" w:customStyle="1" w:styleId="h3Char">
    <w:name w:val="h3 Char"/>
    <w:link w:val="h3"/>
    <w:rPr>
      <w:rFonts w:ascii="Arial" w:eastAsia="Arial" w:hAnsi="Arial"/>
      <w:sz w:val="20"/>
    </w:rPr>
  </w:style>
  <w:style w:type="character" w:customStyle="1" w:styleId="h4Char">
    <w:name w:val="h4 Char"/>
    <w:link w:val="h4"/>
    <w:rPr>
      <w:rFonts w:ascii="Arial" w:eastAsia="Arial" w:hAnsi="Arial"/>
      <w:sz w:val="20"/>
    </w:rPr>
  </w:style>
  <w:style w:type="character" w:customStyle="1" w:styleId="hgem4Char">
    <w:name w:val="hgem4 Char"/>
    <w:link w:val="hgem4"/>
    <w:rPr>
      <w:rFonts w:ascii="Arial" w:eastAsia="Arial" w:hAnsi="Arial"/>
      <w:sz w:val="20"/>
    </w:rPr>
  </w:style>
  <w:style w:type="paragraph" w:customStyle="1" w:styleId="hgem6">
    <w:name w:val="hgem6"/>
    <w:basedOn w:val="h6"/>
    <w:link w:val="hgem6Char"/>
    <w:qFormat/>
    <w:pPr>
      <w:ind w:left="2808" w:hanging="216"/>
    </w:pPr>
  </w:style>
  <w:style w:type="character" w:customStyle="1" w:styleId="h5Char">
    <w:name w:val="h5 Char"/>
    <w:link w:val="h5"/>
    <w:rPr>
      <w:rFonts w:ascii="Arial" w:eastAsia="Arial" w:hAnsi="Arial"/>
      <w:sz w:val="20"/>
    </w:rPr>
  </w:style>
  <w:style w:type="character" w:customStyle="1" w:styleId="hgem5Char">
    <w:name w:val="hgem5 Char"/>
    <w:link w:val="hgem5"/>
    <w:rPr>
      <w:rFonts w:ascii="Arial" w:eastAsia="Arial" w:hAnsi="Arial"/>
      <w:sz w:val="20"/>
    </w:rPr>
  </w:style>
  <w:style w:type="paragraph" w:customStyle="1" w:styleId="hgem7">
    <w:name w:val="hgem7"/>
    <w:basedOn w:val="h7"/>
    <w:link w:val="hgem7Char"/>
    <w:qFormat/>
    <w:pPr>
      <w:ind w:left="3240" w:hanging="216"/>
    </w:pPr>
  </w:style>
  <w:style w:type="character" w:customStyle="1" w:styleId="h6Char">
    <w:name w:val="h6 Char"/>
    <w:link w:val="h6"/>
    <w:rPr>
      <w:rFonts w:ascii="Arial" w:eastAsia="Arial" w:hAnsi="Arial"/>
      <w:sz w:val="20"/>
    </w:rPr>
  </w:style>
  <w:style w:type="character" w:customStyle="1" w:styleId="hgem6Char">
    <w:name w:val="hgem6 Char"/>
    <w:link w:val="hgem6"/>
    <w:rPr>
      <w:rFonts w:ascii="Arial" w:eastAsia="Arial" w:hAnsi="Arial"/>
      <w:sz w:val="20"/>
    </w:rPr>
  </w:style>
  <w:style w:type="character" w:customStyle="1" w:styleId="h7Char">
    <w:name w:val="h7 Char"/>
    <w:link w:val="h7"/>
    <w:rPr>
      <w:rFonts w:ascii="Arial" w:eastAsia="Arial" w:hAnsi="Arial"/>
      <w:sz w:val="20"/>
    </w:rPr>
  </w:style>
  <w:style w:type="character" w:customStyle="1" w:styleId="hgem7Char">
    <w:name w:val="hgem7 Char"/>
    <w:link w:val="hgem7"/>
    <w:rPr>
      <w:rFonts w:ascii="Arial" w:eastAsia="Arial" w:hAnsi="Arial"/>
      <w:sz w:val="20"/>
    </w:rPr>
  </w:style>
  <w:style w:type="paragraph" w:customStyle="1" w:styleId="hg8">
    <w:name w:val="hg8"/>
    <w:basedOn w:val="hg7"/>
    <w:link w:val="hg8Char"/>
    <w:qFormat/>
    <w:pPr>
      <w:ind w:left="3888"/>
    </w:pPr>
  </w:style>
  <w:style w:type="paragraph" w:customStyle="1" w:styleId="hgem8">
    <w:name w:val="hgem8"/>
    <w:basedOn w:val="hg8"/>
    <w:link w:val="hgem8Char"/>
    <w:qFormat/>
    <w:pPr>
      <w:ind w:left="3672" w:hanging="216"/>
    </w:pPr>
  </w:style>
  <w:style w:type="character" w:customStyle="1" w:styleId="hg4Char">
    <w:name w:val="hg4 Char"/>
    <w:link w:val="hg4"/>
    <w:rPr>
      <w:rFonts w:ascii="Arial" w:eastAsia="Arial" w:hAnsi="Arial"/>
      <w:sz w:val="20"/>
    </w:rPr>
  </w:style>
  <w:style w:type="character" w:customStyle="1" w:styleId="hg5Char">
    <w:name w:val="hg5 Char"/>
    <w:link w:val="hg5"/>
    <w:rPr>
      <w:rFonts w:ascii="Arial" w:eastAsia="Arial" w:hAnsi="Arial"/>
      <w:sz w:val="20"/>
    </w:rPr>
  </w:style>
  <w:style w:type="character" w:customStyle="1" w:styleId="hg6Char">
    <w:name w:val="hg6 Char"/>
    <w:link w:val="hg6"/>
    <w:rPr>
      <w:rFonts w:ascii="Arial" w:eastAsia="Arial" w:hAnsi="Arial"/>
      <w:sz w:val="20"/>
    </w:rPr>
  </w:style>
  <w:style w:type="character" w:customStyle="1" w:styleId="hg7Char">
    <w:name w:val="hg7 Char"/>
    <w:link w:val="hg7"/>
    <w:rPr>
      <w:rFonts w:ascii="Arial" w:eastAsia="Arial" w:hAnsi="Arial"/>
      <w:sz w:val="20"/>
    </w:rPr>
  </w:style>
  <w:style w:type="character" w:customStyle="1" w:styleId="hg8Char">
    <w:name w:val="hg8 Char"/>
    <w:link w:val="hg8"/>
    <w:rPr>
      <w:rFonts w:ascii="Arial" w:eastAsia="Arial" w:hAnsi="Arial"/>
      <w:sz w:val="20"/>
    </w:rPr>
  </w:style>
  <w:style w:type="paragraph" w:customStyle="1" w:styleId="hg9">
    <w:name w:val="hg9"/>
    <w:basedOn w:val="hg8"/>
    <w:link w:val="hg9Char"/>
    <w:qFormat/>
    <w:pPr>
      <w:ind w:left="4320"/>
    </w:pPr>
  </w:style>
  <w:style w:type="character" w:customStyle="1" w:styleId="hgem8Char">
    <w:name w:val="hgem8 Char"/>
    <w:link w:val="hgem8"/>
    <w:rPr>
      <w:rFonts w:ascii="Arial" w:eastAsia="Arial" w:hAnsi="Arial"/>
      <w:sz w:val="20"/>
    </w:rPr>
  </w:style>
  <w:style w:type="paragraph" w:customStyle="1" w:styleId="hgem9">
    <w:name w:val="hgem9"/>
    <w:basedOn w:val="hg9"/>
    <w:link w:val="hgem9Char"/>
    <w:qFormat/>
    <w:pPr>
      <w:ind w:left="4104" w:hanging="216"/>
    </w:pPr>
  </w:style>
  <w:style w:type="character" w:customStyle="1" w:styleId="hg9Char">
    <w:name w:val="hg9 Char"/>
    <w:link w:val="hg9"/>
    <w:rPr>
      <w:rFonts w:ascii="Arial" w:eastAsia="Arial" w:hAnsi="Arial"/>
      <w:sz w:val="20"/>
    </w:rPr>
  </w:style>
  <w:style w:type="character" w:customStyle="1" w:styleId="hgem9Char">
    <w:name w:val="hgem9 Char"/>
    <w:link w:val="hgem9"/>
    <w:rPr>
      <w:rFonts w:ascii="Arial" w:eastAsia="Arial" w:hAnsi="Arial"/>
      <w:sz w:val="20"/>
    </w:rPr>
  </w:style>
  <w:style w:type="paragraph" w:customStyle="1" w:styleId="historynote0">
    <w:name w:val="historynote0"/>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ital">
    <w:name w:val="ital"/>
    <w:rsid w:val="006320FF"/>
  </w:style>
  <w:style w:type="character" w:styleId="Emphasis">
    <w:name w:val="Emphasis"/>
    <w:uiPriority w:val="20"/>
    <w:qFormat/>
    <w:rsid w:val="00632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library.municode.com/ga/jasper_county/codes/code_of_ordinances?nodeId=PTIICOOR_CH5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62D3009457A49A00BF31FA5531A0E" ma:contentTypeVersion="13" ma:contentTypeDescription="Create a new document." ma:contentTypeScope="" ma:versionID="e8a026c0b18931f5b34b37931c8cf01d">
  <xsd:schema xmlns:xsd="http://www.w3.org/2001/XMLSchema" xmlns:xs="http://www.w3.org/2001/XMLSchema" xmlns:p="http://schemas.microsoft.com/office/2006/metadata/properties" xmlns:ns3="b1c4eb3b-4448-430f-ace7-7af212f4564e" xmlns:ns4="8884903e-8e4d-411e-add3-61947aae26ff" targetNamespace="http://schemas.microsoft.com/office/2006/metadata/properties" ma:root="true" ma:fieldsID="8485ec7538068d6b515810924e086c87" ns3:_="" ns4:_="">
    <xsd:import namespace="b1c4eb3b-4448-430f-ace7-7af212f4564e"/>
    <xsd:import namespace="8884903e-8e4d-411e-add3-61947aae2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4eb3b-4448-430f-ace7-7af212f45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4903e-8e4d-411e-add3-61947aae2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DB1A2-CA58-42C9-8879-EA2294A07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4eb3b-4448-430f-ace7-7af212f4564e"/>
    <ds:schemaRef ds:uri="8884903e-8e4d-411e-add3-61947aae2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EF245-08B7-4EEB-9AF8-F9D06001A0D8}">
  <ds:schemaRefs>
    <ds:schemaRef ds:uri="http://schemas.microsoft.com/sharepoint/v3/contenttype/forms"/>
  </ds:schemaRefs>
</ds:datastoreItem>
</file>

<file path=customXml/itemProps3.xml><?xml version="1.0" encoding="utf-8"?>
<ds:datastoreItem xmlns:ds="http://schemas.openxmlformats.org/officeDocument/2006/customXml" ds:itemID="{BAB36AC6-0370-4D75-B841-DAE969881F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Ozburn</dc:creator>
  <cp:keywords/>
  <cp:lastModifiedBy>Shane Sealy</cp:lastModifiedBy>
  <cp:revision>4</cp:revision>
  <dcterms:created xsi:type="dcterms:W3CDTF">2020-06-16T12:55:00Z</dcterms:created>
  <dcterms:modified xsi:type="dcterms:W3CDTF">2020-06-18T13:37:00Z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0x0101003F462D3009457A49A00BF31FA5531A0E</vt:lpwstr>
  </property>
</Properties>
</file>